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606" w:rsidRPr="002F79CD" w:rsidRDefault="00650606">
      <w:pPr>
        <w:rPr>
          <w:rFonts w:asciiTheme="minorHAnsi" w:hAnsiTheme="minorHAnsi"/>
          <w:sz w:val="22"/>
        </w:rPr>
      </w:pPr>
      <w:bookmarkStart w:id="0" w:name="_GoBack"/>
      <w:bookmarkEnd w:id="0"/>
    </w:p>
    <w:p w:rsidR="00A913B9" w:rsidRPr="002F79CD" w:rsidRDefault="00A913B9" w:rsidP="00A913B9">
      <w:pPr>
        <w:jc w:val="center"/>
        <w:rPr>
          <w:rFonts w:asciiTheme="minorHAnsi" w:hAnsiTheme="minorHAnsi"/>
          <w:b/>
          <w:sz w:val="22"/>
        </w:rPr>
      </w:pPr>
      <w:r w:rsidRPr="002F79CD">
        <w:rPr>
          <w:rFonts w:asciiTheme="minorHAnsi" w:hAnsiTheme="minorHAnsi"/>
          <w:b/>
          <w:sz w:val="22"/>
        </w:rPr>
        <w:t>INSURANCE CARRIER LETTERHEAD</w:t>
      </w:r>
    </w:p>
    <w:p w:rsidR="00CE0799" w:rsidRPr="002F79CD" w:rsidRDefault="00CE0799" w:rsidP="00A913B9">
      <w:pPr>
        <w:jc w:val="center"/>
        <w:rPr>
          <w:rFonts w:asciiTheme="minorHAnsi" w:hAnsiTheme="minorHAnsi"/>
          <w:b/>
          <w:sz w:val="22"/>
        </w:rPr>
      </w:pPr>
    </w:p>
    <w:tbl>
      <w:tblPr>
        <w:tblStyle w:val="TableGrid"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76"/>
      </w:tblGrid>
      <w:tr w:rsidR="00CE0799" w:rsidRPr="002F79CD" w:rsidTr="002F79CD">
        <w:tc>
          <w:tcPr>
            <w:tcW w:w="9576" w:type="dxa"/>
            <w:shd w:val="clear" w:color="auto" w:fill="D9D9D9" w:themeFill="background1" w:themeFillShade="D9"/>
          </w:tcPr>
          <w:p w:rsidR="00CE0799" w:rsidRPr="002F79CD" w:rsidRDefault="00CE0799" w:rsidP="00A913B9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2F79CD">
              <w:rPr>
                <w:rFonts w:asciiTheme="minorHAnsi" w:hAnsiTheme="minorHAnsi"/>
                <w:b/>
                <w:sz w:val="22"/>
              </w:rPr>
              <w:t xml:space="preserve">Texas Workers’ Compensation </w:t>
            </w:r>
          </w:p>
          <w:p w:rsidR="00CE0799" w:rsidRPr="002F79CD" w:rsidRDefault="009F5AA8" w:rsidP="00A913B9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Injured Employee</w:t>
            </w:r>
            <w:r w:rsidR="00CE0799" w:rsidRPr="002F79CD">
              <w:rPr>
                <w:rFonts w:asciiTheme="minorHAnsi" w:hAnsiTheme="minorHAnsi"/>
                <w:b/>
                <w:sz w:val="22"/>
              </w:rPr>
              <w:t xml:space="preserve"> Notification Letter</w:t>
            </w:r>
          </w:p>
          <w:p w:rsidR="00CE0799" w:rsidRPr="002F79CD" w:rsidRDefault="00CE0799" w:rsidP="00A913B9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2F79CD">
              <w:rPr>
                <w:rFonts w:asciiTheme="minorHAnsi" w:hAnsiTheme="minorHAnsi"/>
                <w:b/>
                <w:sz w:val="22"/>
              </w:rPr>
              <w:t xml:space="preserve">for Addition of </w:t>
            </w:r>
            <w:r w:rsidR="008F1A5D">
              <w:rPr>
                <w:rFonts w:asciiTheme="minorHAnsi" w:hAnsiTheme="minorHAnsi" w:cs="Arial"/>
                <w:b/>
                <w:sz w:val="22"/>
              </w:rPr>
              <w:t xml:space="preserve">Fentanyl </w:t>
            </w:r>
            <w:r w:rsidR="00D932E1">
              <w:rPr>
                <w:rFonts w:asciiTheme="minorHAnsi" w:hAnsiTheme="minorHAnsi" w:cs="Arial"/>
                <w:b/>
                <w:sz w:val="22"/>
              </w:rPr>
              <w:t xml:space="preserve">Transdermal </w:t>
            </w:r>
            <w:r w:rsidR="008F1A5D">
              <w:rPr>
                <w:rFonts w:asciiTheme="minorHAnsi" w:hAnsiTheme="minorHAnsi" w:cs="Arial"/>
                <w:b/>
                <w:sz w:val="22"/>
              </w:rPr>
              <w:t>Patch</w:t>
            </w:r>
            <w:r w:rsidR="00D932E1">
              <w:rPr>
                <w:rFonts w:asciiTheme="minorHAnsi" w:hAnsiTheme="minorHAnsi" w:cs="Arial"/>
                <w:b/>
                <w:sz w:val="22"/>
              </w:rPr>
              <w:t>es</w:t>
            </w:r>
            <w:r w:rsidR="008F1A5D"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Pr="002F79CD">
              <w:rPr>
                <w:rFonts w:asciiTheme="minorHAnsi" w:hAnsiTheme="minorHAnsi" w:cs="Arial"/>
                <w:b/>
                <w:sz w:val="22"/>
              </w:rPr>
              <w:t>and MS-</w:t>
            </w:r>
            <w:proofErr w:type="spellStart"/>
            <w:r w:rsidRPr="002F79CD">
              <w:rPr>
                <w:rFonts w:asciiTheme="minorHAnsi" w:hAnsiTheme="minorHAnsi" w:cs="Arial"/>
                <w:b/>
                <w:sz w:val="22"/>
              </w:rPr>
              <w:t>Contin</w:t>
            </w:r>
            <w:proofErr w:type="spellEnd"/>
            <w:r w:rsidRPr="002F79CD">
              <w:rPr>
                <w:rFonts w:asciiTheme="minorHAnsi" w:hAnsiTheme="minorHAnsi" w:cs="Arial"/>
                <w:b/>
                <w:sz w:val="22"/>
              </w:rPr>
              <w:t xml:space="preserve"> </w:t>
            </w:r>
          </w:p>
          <w:p w:rsidR="00CE0799" w:rsidRPr="002F79CD" w:rsidRDefault="00CE0799" w:rsidP="00A913B9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2F79CD">
              <w:rPr>
                <w:rFonts w:asciiTheme="minorHAnsi" w:hAnsiTheme="minorHAnsi" w:cs="Arial"/>
                <w:b/>
                <w:sz w:val="22"/>
              </w:rPr>
              <w:t xml:space="preserve">to “N” Drug Status List in Appendix A, </w:t>
            </w:r>
          </w:p>
          <w:p w:rsidR="00CE0799" w:rsidRPr="002F79CD" w:rsidRDefault="00CE0799" w:rsidP="002F79C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2F79CD">
              <w:rPr>
                <w:rFonts w:asciiTheme="minorHAnsi" w:hAnsiTheme="minorHAnsi" w:cs="Arial"/>
                <w:b/>
                <w:sz w:val="22"/>
              </w:rPr>
              <w:t>ODG Workers’ Compensation Drug Formulary</w:t>
            </w:r>
          </w:p>
        </w:tc>
      </w:tr>
    </w:tbl>
    <w:p w:rsidR="00CE0799" w:rsidRPr="002F79CD" w:rsidRDefault="00CE0799" w:rsidP="00CE0799">
      <w:pPr>
        <w:rPr>
          <w:rFonts w:asciiTheme="minorHAnsi" w:hAnsiTheme="minorHAnsi"/>
          <w:sz w:val="22"/>
        </w:rPr>
      </w:pPr>
    </w:p>
    <w:p w:rsidR="00CE0799" w:rsidRPr="002F79CD" w:rsidRDefault="00CE0799" w:rsidP="00CE0799">
      <w:pPr>
        <w:rPr>
          <w:rFonts w:asciiTheme="minorHAnsi" w:hAnsiTheme="minorHAnsi"/>
          <w:sz w:val="22"/>
        </w:rPr>
      </w:pPr>
      <w:r w:rsidRPr="002F79CD">
        <w:rPr>
          <w:rFonts w:asciiTheme="minorHAnsi" w:hAnsiTheme="minorHAnsi"/>
          <w:sz w:val="22"/>
        </w:rPr>
        <w:t>[INSURANCE CARRIER NAME]</w:t>
      </w:r>
    </w:p>
    <w:p w:rsidR="00CE0799" w:rsidRPr="002F79CD" w:rsidRDefault="00CE0799" w:rsidP="00CE0799">
      <w:pPr>
        <w:rPr>
          <w:rFonts w:asciiTheme="minorHAnsi" w:hAnsiTheme="minorHAnsi"/>
          <w:sz w:val="22"/>
        </w:rPr>
      </w:pPr>
    </w:p>
    <w:p w:rsidR="00CE0799" w:rsidRPr="002F79CD" w:rsidRDefault="00CE0799" w:rsidP="00CE0799">
      <w:pPr>
        <w:rPr>
          <w:rFonts w:asciiTheme="minorHAnsi" w:hAnsiTheme="minorHAnsi"/>
          <w:sz w:val="22"/>
        </w:rPr>
      </w:pPr>
      <w:r w:rsidRPr="002F79CD">
        <w:rPr>
          <w:rFonts w:asciiTheme="minorHAnsi" w:hAnsiTheme="minorHAnsi"/>
          <w:sz w:val="22"/>
        </w:rPr>
        <w:tab/>
        <w:t>[ADDRESS]</w:t>
      </w:r>
    </w:p>
    <w:p w:rsidR="00CE0799" w:rsidRPr="002F79CD" w:rsidRDefault="00CE0799" w:rsidP="00CE0799">
      <w:pPr>
        <w:rPr>
          <w:rFonts w:asciiTheme="minorHAnsi" w:hAnsiTheme="minorHAnsi"/>
          <w:sz w:val="22"/>
        </w:rPr>
      </w:pPr>
    </w:p>
    <w:p w:rsidR="00CE0799" w:rsidRPr="002F79CD" w:rsidRDefault="00CE0799" w:rsidP="00CE0799">
      <w:pPr>
        <w:rPr>
          <w:rFonts w:asciiTheme="minorHAnsi" w:hAnsiTheme="minorHAnsi"/>
          <w:sz w:val="22"/>
        </w:rPr>
      </w:pPr>
      <w:r w:rsidRPr="002F79CD">
        <w:rPr>
          <w:rFonts w:asciiTheme="minorHAnsi" w:hAnsiTheme="minorHAnsi"/>
          <w:sz w:val="22"/>
        </w:rPr>
        <w:t>[DATE]</w:t>
      </w:r>
    </w:p>
    <w:p w:rsidR="00CE0799" w:rsidRPr="002F79CD" w:rsidRDefault="00CE0799" w:rsidP="00CE0799">
      <w:pPr>
        <w:rPr>
          <w:rFonts w:asciiTheme="minorHAnsi" w:hAnsiTheme="minorHAnsi"/>
          <w:sz w:val="22"/>
        </w:rPr>
      </w:pPr>
    </w:p>
    <w:p w:rsidR="00CE0799" w:rsidRPr="002F79CD" w:rsidRDefault="00CE0799" w:rsidP="00CE0799">
      <w:pPr>
        <w:rPr>
          <w:rFonts w:asciiTheme="minorHAnsi" w:hAnsiTheme="minorHAnsi"/>
          <w:sz w:val="22"/>
        </w:rPr>
      </w:pPr>
      <w:r w:rsidRPr="002F79CD">
        <w:rPr>
          <w:rFonts w:asciiTheme="minorHAnsi" w:hAnsiTheme="minorHAnsi"/>
          <w:sz w:val="22"/>
        </w:rPr>
        <w:t>[</w:t>
      </w:r>
      <w:r w:rsidR="009F5AA8">
        <w:rPr>
          <w:rFonts w:asciiTheme="minorHAnsi" w:hAnsiTheme="minorHAnsi"/>
          <w:sz w:val="22"/>
        </w:rPr>
        <w:t>INJURED EMPLOYEE</w:t>
      </w:r>
      <w:r w:rsidRPr="002F79CD">
        <w:rPr>
          <w:rFonts w:asciiTheme="minorHAnsi" w:hAnsiTheme="minorHAnsi"/>
          <w:sz w:val="22"/>
        </w:rPr>
        <w:t>]</w:t>
      </w:r>
    </w:p>
    <w:p w:rsidR="00CE0799" w:rsidRPr="002F79CD" w:rsidRDefault="00CE0799" w:rsidP="00CE0799">
      <w:pPr>
        <w:rPr>
          <w:rFonts w:asciiTheme="minorHAnsi" w:hAnsiTheme="minorHAnsi"/>
          <w:sz w:val="22"/>
        </w:rPr>
      </w:pPr>
      <w:r w:rsidRPr="002F79CD">
        <w:rPr>
          <w:rFonts w:asciiTheme="minorHAnsi" w:hAnsiTheme="minorHAnsi"/>
          <w:sz w:val="22"/>
        </w:rPr>
        <w:tab/>
        <w:t>[ADDRESS]</w:t>
      </w:r>
    </w:p>
    <w:p w:rsidR="00CE0799" w:rsidRDefault="009F5AA8" w:rsidP="009F5AA8">
      <w:pPr>
        <w:ind w:firstLine="720"/>
        <w:rPr>
          <w:rFonts w:asciiTheme="minorHAnsi" w:hAnsiTheme="minorHAnsi"/>
          <w:sz w:val="22"/>
        </w:rPr>
      </w:pPr>
      <w:r w:rsidRPr="002F79CD">
        <w:rPr>
          <w:rFonts w:asciiTheme="minorHAnsi" w:hAnsiTheme="minorHAnsi"/>
          <w:sz w:val="22"/>
        </w:rPr>
        <w:t>[</w:t>
      </w:r>
      <w:r>
        <w:rPr>
          <w:rFonts w:asciiTheme="minorHAnsi" w:hAnsiTheme="minorHAnsi"/>
          <w:sz w:val="22"/>
        </w:rPr>
        <w:t>C</w:t>
      </w:r>
      <w:r w:rsidRPr="002F79CD">
        <w:rPr>
          <w:rFonts w:asciiTheme="minorHAnsi" w:hAnsiTheme="minorHAnsi"/>
          <w:sz w:val="22"/>
        </w:rPr>
        <w:t>A</w:t>
      </w:r>
      <w:r>
        <w:rPr>
          <w:rFonts w:asciiTheme="minorHAnsi" w:hAnsiTheme="minorHAnsi"/>
          <w:sz w:val="22"/>
        </w:rPr>
        <w:t>R</w:t>
      </w:r>
      <w:r w:rsidRPr="002F79CD">
        <w:rPr>
          <w:rFonts w:asciiTheme="minorHAnsi" w:hAnsiTheme="minorHAnsi"/>
          <w:sz w:val="22"/>
        </w:rPr>
        <w:t>R</w:t>
      </w:r>
      <w:r>
        <w:rPr>
          <w:rFonts w:asciiTheme="minorHAnsi" w:hAnsiTheme="minorHAnsi"/>
          <w:sz w:val="22"/>
        </w:rPr>
        <w:t>I</w:t>
      </w:r>
      <w:r w:rsidRPr="002F79CD">
        <w:rPr>
          <w:rFonts w:asciiTheme="minorHAnsi" w:hAnsiTheme="minorHAnsi"/>
          <w:sz w:val="22"/>
        </w:rPr>
        <w:t>E</w:t>
      </w:r>
      <w:r>
        <w:rPr>
          <w:rFonts w:asciiTheme="minorHAnsi" w:hAnsiTheme="minorHAnsi"/>
          <w:sz w:val="22"/>
        </w:rPr>
        <w:t>R CLAIM NUMBER</w:t>
      </w:r>
      <w:r w:rsidRPr="002F79CD">
        <w:rPr>
          <w:rFonts w:asciiTheme="minorHAnsi" w:hAnsiTheme="minorHAnsi"/>
          <w:sz w:val="22"/>
        </w:rPr>
        <w:t>]</w:t>
      </w:r>
    </w:p>
    <w:p w:rsidR="009F5AA8" w:rsidRPr="002F79CD" w:rsidRDefault="009F5AA8" w:rsidP="009F5AA8">
      <w:pPr>
        <w:ind w:firstLine="720"/>
        <w:rPr>
          <w:rFonts w:asciiTheme="minorHAnsi" w:hAnsiTheme="minorHAnsi"/>
          <w:sz w:val="22"/>
        </w:rPr>
      </w:pPr>
    </w:p>
    <w:p w:rsidR="005A0628" w:rsidRDefault="005A0628" w:rsidP="005A0628">
      <w:pPr>
        <w:rPr>
          <w:rFonts w:asciiTheme="minorHAnsi" w:hAnsiTheme="minorHAnsi"/>
          <w:sz w:val="22"/>
        </w:rPr>
      </w:pPr>
      <w:r w:rsidRPr="002F79CD">
        <w:rPr>
          <w:rFonts w:asciiTheme="minorHAnsi" w:hAnsiTheme="minorHAnsi"/>
          <w:sz w:val="22"/>
        </w:rPr>
        <w:t xml:space="preserve">Starting </w:t>
      </w:r>
      <w:r>
        <w:rPr>
          <w:rFonts w:asciiTheme="minorHAnsi" w:hAnsiTheme="minorHAnsi"/>
          <w:sz w:val="22"/>
        </w:rPr>
        <w:t>February 1, 2016</w:t>
      </w:r>
      <w:r w:rsidRPr="002F79CD">
        <w:rPr>
          <w:rFonts w:asciiTheme="minorHAnsi" w:hAnsiTheme="minorHAnsi"/>
          <w:sz w:val="22"/>
        </w:rPr>
        <w:t xml:space="preserve">, </w:t>
      </w:r>
      <w:r>
        <w:rPr>
          <w:rFonts w:asciiTheme="minorHAnsi" w:hAnsiTheme="minorHAnsi" w:cs="Arial"/>
          <w:sz w:val="22"/>
        </w:rPr>
        <w:t xml:space="preserve">Fentanyl Transdermal Patches </w:t>
      </w:r>
      <w:r w:rsidRPr="002F79CD">
        <w:rPr>
          <w:rFonts w:asciiTheme="minorHAnsi" w:hAnsiTheme="minorHAnsi" w:cs="Arial"/>
          <w:sz w:val="22"/>
        </w:rPr>
        <w:t>and MS-</w:t>
      </w:r>
      <w:proofErr w:type="spellStart"/>
      <w:r w:rsidRPr="002F79CD">
        <w:rPr>
          <w:rFonts w:asciiTheme="minorHAnsi" w:hAnsiTheme="minorHAnsi" w:cs="Arial"/>
          <w:sz w:val="22"/>
        </w:rPr>
        <w:t>Contin</w:t>
      </w:r>
      <w:proofErr w:type="spellEnd"/>
      <w:r w:rsidRPr="002F79CD">
        <w:rPr>
          <w:rFonts w:asciiTheme="minorHAnsi" w:hAnsiTheme="minorHAnsi"/>
          <w:sz w:val="22"/>
        </w:rPr>
        <w:t xml:space="preserve"> will change from “Y” status to “N” drug status in the Appendix A, </w:t>
      </w:r>
      <w:r w:rsidRPr="002F79CD">
        <w:rPr>
          <w:rFonts w:asciiTheme="minorHAnsi" w:hAnsiTheme="minorHAnsi"/>
          <w:i/>
          <w:sz w:val="22"/>
        </w:rPr>
        <w:t>ODG Workers’ Compensation Drug Formulary</w:t>
      </w:r>
      <w:r w:rsidRPr="002F79CD">
        <w:rPr>
          <w:rFonts w:asciiTheme="minorHAnsi" w:hAnsiTheme="minorHAnsi"/>
          <w:sz w:val="22"/>
        </w:rPr>
        <w:t>, which is the pharmacy closed formulary adopted by the Texas Department of Insurance, Div</w:t>
      </w:r>
      <w:r>
        <w:rPr>
          <w:rFonts w:asciiTheme="minorHAnsi" w:hAnsiTheme="minorHAnsi"/>
          <w:sz w:val="22"/>
        </w:rPr>
        <w:t>ision of Workers’ Compensation</w:t>
      </w:r>
      <w:r w:rsidRPr="002F79CD">
        <w:rPr>
          <w:rFonts w:asciiTheme="minorHAnsi" w:hAnsiTheme="minorHAnsi"/>
          <w:sz w:val="22"/>
        </w:rPr>
        <w:t xml:space="preserve">. </w:t>
      </w:r>
      <w:r w:rsidR="00F15151">
        <w:rPr>
          <w:rFonts w:asciiTheme="minorHAnsi" w:hAnsiTheme="minorHAnsi"/>
          <w:sz w:val="22"/>
        </w:rPr>
        <w:t xml:space="preserve"> This change will require the use of </w:t>
      </w:r>
      <w:r w:rsidR="00F15151">
        <w:rPr>
          <w:rFonts w:asciiTheme="minorHAnsi" w:hAnsiTheme="minorHAnsi" w:cs="Arial"/>
          <w:sz w:val="22"/>
        </w:rPr>
        <w:t>Fentanyl Transdermal Patches,</w:t>
      </w:r>
      <w:r w:rsidR="00F15151" w:rsidRPr="002F79CD">
        <w:rPr>
          <w:rFonts w:asciiTheme="minorHAnsi" w:hAnsiTheme="minorHAnsi" w:cs="Arial"/>
          <w:sz w:val="22"/>
        </w:rPr>
        <w:t xml:space="preserve"> MS-</w:t>
      </w:r>
      <w:proofErr w:type="spellStart"/>
      <w:r w:rsidR="00F15151" w:rsidRPr="002F79CD">
        <w:rPr>
          <w:rFonts w:asciiTheme="minorHAnsi" w:hAnsiTheme="minorHAnsi" w:cs="Arial"/>
          <w:sz w:val="22"/>
        </w:rPr>
        <w:t>Contin</w:t>
      </w:r>
      <w:proofErr w:type="spellEnd"/>
      <w:r w:rsidR="00F15151">
        <w:rPr>
          <w:rFonts w:asciiTheme="minorHAnsi" w:hAnsiTheme="minorHAnsi" w:cs="Arial"/>
          <w:sz w:val="22"/>
        </w:rPr>
        <w:t>, and their generic equivalents to be preauthorized</w:t>
      </w:r>
      <w:r w:rsidR="00377C2C">
        <w:rPr>
          <w:rFonts w:asciiTheme="minorHAnsi" w:hAnsiTheme="minorHAnsi" w:cs="Arial"/>
          <w:sz w:val="22"/>
        </w:rPr>
        <w:t xml:space="preserve"> before being dispensed at the pharmacy</w:t>
      </w:r>
      <w:r w:rsidR="00F15151">
        <w:rPr>
          <w:rFonts w:asciiTheme="minorHAnsi" w:hAnsiTheme="minorHAnsi" w:cs="Arial"/>
          <w:sz w:val="22"/>
        </w:rPr>
        <w:t>.</w:t>
      </w:r>
    </w:p>
    <w:p w:rsidR="005A0628" w:rsidRPr="002F79CD" w:rsidRDefault="005A0628" w:rsidP="005A0628">
      <w:pPr>
        <w:rPr>
          <w:rFonts w:asciiTheme="minorHAnsi" w:hAnsiTheme="minorHAnsi"/>
          <w:sz w:val="22"/>
        </w:rPr>
      </w:pPr>
    </w:p>
    <w:p w:rsidR="009F5AA8" w:rsidRDefault="009F5AA8" w:rsidP="00CE079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You are receiving this letter because you have a workers’ compensation claim(s)</w:t>
      </w:r>
      <w:r w:rsidR="005A0628">
        <w:rPr>
          <w:rFonts w:asciiTheme="minorHAnsi" w:hAnsiTheme="minorHAnsi"/>
          <w:sz w:val="22"/>
        </w:rPr>
        <w:t xml:space="preserve"> affected by this change</w:t>
      </w:r>
      <w:r>
        <w:rPr>
          <w:rFonts w:asciiTheme="minorHAnsi" w:hAnsiTheme="minorHAnsi"/>
          <w:sz w:val="22"/>
        </w:rPr>
        <w:t xml:space="preserve">.  We have identified that you and the doctor who is </w:t>
      </w:r>
      <w:r w:rsidR="00377C2C">
        <w:rPr>
          <w:rFonts w:asciiTheme="minorHAnsi" w:hAnsiTheme="minorHAnsi"/>
          <w:sz w:val="22"/>
        </w:rPr>
        <w:t>prescribing either or both drugs</w:t>
      </w:r>
      <w:r>
        <w:rPr>
          <w:rFonts w:asciiTheme="minorHAnsi" w:hAnsiTheme="minorHAnsi"/>
          <w:sz w:val="22"/>
        </w:rPr>
        <w:t xml:space="preserve"> for your injury </w:t>
      </w:r>
      <w:r w:rsidR="00F15151">
        <w:rPr>
          <w:rFonts w:asciiTheme="minorHAnsi" w:hAnsiTheme="minorHAnsi"/>
          <w:sz w:val="22"/>
        </w:rPr>
        <w:t>may</w:t>
      </w:r>
      <w:r>
        <w:rPr>
          <w:rFonts w:asciiTheme="minorHAnsi" w:hAnsiTheme="minorHAnsi"/>
          <w:sz w:val="22"/>
        </w:rPr>
        <w:t xml:space="preserve"> be affected by changes to the workers’ compensation pharmacy closed formulary.  The purpose of notifying you and your doctor is to allow your doctor time to review your prescription(s) of [</w:t>
      </w:r>
      <w:r>
        <w:rPr>
          <w:rFonts w:asciiTheme="minorHAnsi" w:hAnsiTheme="minorHAnsi" w:cs="Arial"/>
          <w:sz w:val="22"/>
        </w:rPr>
        <w:t>F</w:t>
      </w:r>
      <w:r w:rsidR="002926A6">
        <w:rPr>
          <w:rFonts w:asciiTheme="minorHAnsi" w:hAnsiTheme="minorHAnsi" w:cs="Arial"/>
          <w:sz w:val="22"/>
        </w:rPr>
        <w:t xml:space="preserve">ENTANYL TRANSDERMAL PATCH AND/OR </w:t>
      </w:r>
      <w:r w:rsidRPr="002F79CD">
        <w:rPr>
          <w:rFonts w:asciiTheme="minorHAnsi" w:hAnsiTheme="minorHAnsi" w:cs="Arial"/>
          <w:sz w:val="22"/>
        </w:rPr>
        <w:t>MS-C</w:t>
      </w:r>
      <w:r w:rsidR="002926A6">
        <w:rPr>
          <w:rFonts w:asciiTheme="minorHAnsi" w:hAnsiTheme="minorHAnsi" w:cs="Arial"/>
          <w:sz w:val="22"/>
        </w:rPr>
        <w:t>ONTIN</w:t>
      </w:r>
      <w:r>
        <w:rPr>
          <w:rFonts w:asciiTheme="minorHAnsi" w:hAnsiTheme="minorHAnsi" w:cs="Arial"/>
          <w:sz w:val="22"/>
        </w:rPr>
        <w:t>] before the</w:t>
      </w:r>
      <w:r w:rsidR="00377C2C">
        <w:rPr>
          <w:rFonts w:asciiTheme="minorHAnsi" w:hAnsiTheme="minorHAnsi" w:cs="Arial"/>
          <w:sz w:val="22"/>
        </w:rPr>
        <w:t>se drugs require preauthorization on</w:t>
      </w:r>
      <w:r>
        <w:rPr>
          <w:rFonts w:asciiTheme="minorHAnsi" w:hAnsiTheme="minorHAnsi" w:cs="Arial"/>
          <w:sz w:val="22"/>
        </w:rPr>
        <w:t xml:space="preserve"> February 1, 2016.  A review of this prescription(s) by your insurance carrier with your doctor may result in a change in your current treatment plan or prescription(s).</w:t>
      </w:r>
    </w:p>
    <w:p w:rsidR="009F5AA8" w:rsidRDefault="009F5AA8" w:rsidP="00CE0799">
      <w:pPr>
        <w:rPr>
          <w:rFonts w:asciiTheme="minorHAnsi" w:hAnsiTheme="minorHAnsi"/>
          <w:sz w:val="22"/>
        </w:rPr>
      </w:pPr>
    </w:p>
    <w:p w:rsidR="009F5AA8" w:rsidRDefault="005A0628" w:rsidP="00CE079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We authorize </w:t>
      </w:r>
      <w:r w:rsidR="009F5AA8">
        <w:rPr>
          <w:rFonts w:asciiTheme="minorHAnsi" w:hAnsiTheme="minorHAnsi"/>
          <w:sz w:val="22"/>
        </w:rPr>
        <w:t>[(HEALTH CARE PROFESSIONAL FROM OUR INSURANCE COMPA</w:t>
      </w:r>
      <w:r w:rsidR="00377C2C">
        <w:rPr>
          <w:rFonts w:asciiTheme="minorHAnsi" w:hAnsiTheme="minorHAnsi"/>
          <w:sz w:val="22"/>
        </w:rPr>
        <w:t>N</w:t>
      </w:r>
      <w:r w:rsidR="009F5AA8">
        <w:rPr>
          <w:rFonts w:asciiTheme="minorHAnsi" w:hAnsiTheme="minorHAnsi"/>
          <w:sz w:val="22"/>
        </w:rPr>
        <w:t>Y) or (UTILIZATION REVIEW AGENT)] to work with your doctor on your</w:t>
      </w:r>
      <w:r>
        <w:rPr>
          <w:rFonts w:asciiTheme="minorHAnsi" w:hAnsiTheme="minorHAnsi"/>
          <w:sz w:val="22"/>
        </w:rPr>
        <w:t xml:space="preserve"> </w:t>
      </w:r>
      <w:r w:rsidR="009F5AA8">
        <w:rPr>
          <w:rFonts w:asciiTheme="minorHAnsi" w:hAnsiTheme="minorHAnsi"/>
          <w:sz w:val="22"/>
        </w:rPr>
        <w:t>wo</w:t>
      </w:r>
      <w:r>
        <w:rPr>
          <w:rFonts w:asciiTheme="minorHAnsi" w:hAnsiTheme="minorHAnsi"/>
          <w:sz w:val="22"/>
        </w:rPr>
        <w:t>r</w:t>
      </w:r>
      <w:r w:rsidR="009F5AA8">
        <w:rPr>
          <w:rFonts w:asciiTheme="minorHAnsi" w:hAnsiTheme="minorHAnsi"/>
          <w:sz w:val="22"/>
        </w:rPr>
        <w:t xml:space="preserve">kers’ compensation claim.  Since we are beginning discussions with your doctor, this is a good opportunity for you to also discuss with your doctor how the pharmacy closed formulary affects your current workers’ compensation </w:t>
      </w:r>
      <w:r w:rsidR="002926A6">
        <w:rPr>
          <w:rFonts w:asciiTheme="minorHAnsi" w:hAnsiTheme="minorHAnsi"/>
          <w:sz w:val="22"/>
        </w:rPr>
        <w:t>prescriptions.</w:t>
      </w:r>
    </w:p>
    <w:p w:rsidR="002926A6" w:rsidRDefault="002926A6" w:rsidP="00CE0799">
      <w:pPr>
        <w:rPr>
          <w:rFonts w:asciiTheme="minorHAnsi" w:hAnsiTheme="minorHAnsi"/>
          <w:sz w:val="22"/>
        </w:rPr>
      </w:pPr>
    </w:p>
    <w:p w:rsidR="002926A6" w:rsidRDefault="002926A6" w:rsidP="00CE079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Detailed information about the workers’ compensation pharmacy closed formulary is available on the T</w:t>
      </w:r>
      <w:r w:rsidR="005A0628">
        <w:rPr>
          <w:rFonts w:asciiTheme="minorHAnsi" w:hAnsiTheme="minorHAnsi"/>
          <w:sz w:val="22"/>
        </w:rPr>
        <w:t xml:space="preserve">exas </w:t>
      </w:r>
      <w:r>
        <w:rPr>
          <w:rFonts w:asciiTheme="minorHAnsi" w:hAnsiTheme="minorHAnsi"/>
          <w:sz w:val="22"/>
        </w:rPr>
        <w:t>D</w:t>
      </w:r>
      <w:r w:rsidR="005A0628">
        <w:rPr>
          <w:rFonts w:asciiTheme="minorHAnsi" w:hAnsiTheme="minorHAnsi"/>
          <w:sz w:val="22"/>
        </w:rPr>
        <w:t xml:space="preserve">epartment of </w:t>
      </w:r>
      <w:r>
        <w:rPr>
          <w:rFonts w:asciiTheme="minorHAnsi" w:hAnsiTheme="minorHAnsi"/>
          <w:sz w:val="22"/>
        </w:rPr>
        <w:t>I</w:t>
      </w:r>
      <w:r w:rsidR="005A0628">
        <w:rPr>
          <w:rFonts w:asciiTheme="minorHAnsi" w:hAnsiTheme="minorHAnsi"/>
          <w:sz w:val="22"/>
        </w:rPr>
        <w:t>nsurance</w:t>
      </w:r>
      <w:r>
        <w:rPr>
          <w:rFonts w:asciiTheme="minorHAnsi" w:hAnsiTheme="minorHAnsi"/>
          <w:sz w:val="22"/>
        </w:rPr>
        <w:t xml:space="preserve"> website at </w:t>
      </w:r>
      <w:hyperlink r:id="rId7" w:history="1">
        <w:r w:rsidRPr="008B69C1">
          <w:rPr>
            <w:rStyle w:val="Hyperlink"/>
            <w:rFonts w:asciiTheme="minorHAnsi" w:hAnsiTheme="minorHAnsi"/>
            <w:sz w:val="22"/>
          </w:rPr>
          <w:t>http://www.tdi.texas.gov//wc/pharmacy/index.html</w:t>
        </w:r>
      </w:hyperlink>
      <w:r>
        <w:rPr>
          <w:rFonts w:asciiTheme="minorHAnsi" w:hAnsiTheme="minorHAnsi"/>
          <w:sz w:val="22"/>
        </w:rPr>
        <w:t xml:space="preserve">. </w:t>
      </w:r>
    </w:p>
    <w:p w:rsidR="002926A6" w:rsidRDefault="002926A6" w:rsidP="00CE0799">
      <w:pPr>
        <w:rPr>
          <w:rFonts w:asciiTheme="minorHAnsi" w:hAnsiTheme="minorHAnsi"/>
          <w:sz w:val="22"/>
        </w:rPr>
      </w:pPr>
    </w:p>
    <w:p w:rsidR="002926A6" w:rsidRDefault="002926A6" w:rsidP="00BE3150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Please contact us if you have any questions regarding this letter.</w:t>
      </w:r>
    </w:p>
    <w:p w:rsidR="002926A6" w:rsidRDefault="002926A6" w:rsidP="00BE3150">
      <w:pPr>
        <w:rPr>
          <w:rFonts w:asciiTheme="minorHAnsi" w:hAnsiTheme="minorHAnsi"/>
          <w:sz w:val="22"/>
        </w:rPr>
      </w:pPr>
    </w:p>
    <w:p w:rsidR="009611EC" w:rsidRDefault="002926A6" w:rsidP="00BE3150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Thank you,</w:t>
      </w:r>
    </w:p>
    <w:p w:rsidR="002926A6" w:rsidRDefault="002926A6" w:rsidP="00BE3150">
      <w:pPr>
        <w:rPr>
          <w:rFonts w:asciiTheme="minorHAnsi" w:hAnsiTheme="minorHAnsi" w:cs="Arial"/>
          <w:sz w:val="22"/>
        </w:rPr>
      </w:pPr>
    </w:p>
    <w:p w:rsidR="009611EC" w:rsidRPr="002F79CD" w:rsidRDefault="009611EC" w:rsidP="00BE3150">
      <w:pPr>
        <w:rPr>
          <w:rFonts w:asciiTheme="minorHAnsi" w:hAnsiTheme="minorHAnsi" w:cs="Arial"/>
          <w:sz w:val="22"/>
        </w:rPr>
      </w:pPr>
      <w:r w:rsidRPr="002F79CD">
        <w:rPr>
          <w:rFonts w:asciiTheme="minorHAnsi" w:hAnsiTheme="minorHAnsi" w:cs="Arial"/>
          <w:sz w:val="22"/>
        </w:rPr>
        <w:t>[SIGNATUARE]</w:t>
      </w:r>
    </w:p>
    <w:p w:rsidR="009611EC" w:rsidRPr="00377C2C" w:rsidRDefault="009611EC" w:rsidP="009611EC">
      <w:pPr>
        <w:rPr>
          <w:rFonts w:asciiTheme="minorHAnsi" w:hAnsiTheme="minorHAnsi" w:cs="Arial"/>
          <w:sz w:val="22"/>
        </w:rPr>
      </w:pPr>
      <w:r w:rsidRPr="002F79CD">
        <w:rPr>
          <w:rFonts w:asciiTheme="minorHAnsi" w:hAnsiTheme="minorHAnsi" w:cs="Arial"/>
          <w:sz w:val="22"/>
        </w:rPr>
        <w:tab/>
      </w:r>
      <w:r w:rsidRPr="002F79CD">
        <w:rPr>
          <w:rFonts w:asciiTheme="minorHAnsi" w:hAnsiTheme="minorHAnsi" w:cs="Arial"/>
          <w:sz w:val="22"/>
        </w:rPr>
        <w:tab/>
        <w:t>[</w:t>
      </w:r>
      <w:proofErr w:type="gramStart"/>
      <w:r w:rsidRPr="002F79CD">
        <w:rPr>
          <w:rFonts w:asciiTheme="minorHAnsi" w:hAnsiTheme="minorHAnsi" w:cs="Arial"/>
          <w:sz w:val="22"/>
        </w:rPr>
        <w:t>title</w:t>
      </w:r>
      <w:proofErr w:type="gramEnd"/>
      <w:r w:rsidRPr="002F79CD">
        <w:rPr>
          <w:rFonts w:asciiTheme="minorHAnsi" w:hAnsiTheme="minorHAnsi" w:cs="Arial"/>
          <w:sz w:val="22"/>
        </w:rPr>
        <w:t>]</w:t>
      </w:r>
      <w:r w:rsidRPr="002F79CD">
        <w:rPr>
          <w:rFonts w:asciiTheme="minorHAnsi" w:hAnsiTheme="minorHAnsi" w:cs="Arial"/>
          <w:sz w:val="22"/>
        </w:rPr>
        <w:tab/>
      </w:r>
      <w:r w:rsidRPr="002F79CD">
        <w:rPr>
          <w:rFonts w:asciiTheme="minorHAnsi" w:hAnsiTheme="minorHAnsi" w:cs="Arial"/>
          <w:sz w:val="22"/>
        </w:rPr>
        <w:tab/>
        <w:t>[</w:t>
      </w:r>
      <w:proofErr w:type="gramStart"/>
      <w:r w:rsidRPr="002F79CD">
        <w:rPr>
          <w:rFonts w:asciiTheme="minorHAnsi" w:hAnsiTheme="minorHAnsi" w:cs="Arial"/>
          <w:sz w:val="22"/>
        </w:rPr>
        <w:t>phone</w:t>
      </w:r>
      <w:proofErr w:type="gramEnd"/>
      <w:r w:rsidRPr="002F79CD">
        <w:rPr>
          <w:rFonts w:asciiTheme="minorHAnsi" w:hAnsiTheme="minorHAnsi" w:cs="Arial"/>
          <w:sz w:val="22"/>
        </w:rPr>
        <w:t xml:space="preserve"> number]</w:t>
      </w:r>
    </w:p>
    <w:sectPr w:rsidR="009611EC" w:rsidRPr="00377C2C" w:rsidSect="00650606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44F" w:rsidRDefault="00A0244F" w:rsidP="00CE0799">
      <w:r>
        <w:separator/>
      </w:r>
    </w:p>
  </w:endnote>
  <w:endnote w:type="continuationSeparator" w:id="0">
    <w:p w:rsidR="00A0244F" w:rsidRDefault="00A0244F" w:rsidP="00CE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44F" w:rsidRDefault="00A0244F" w:rsidP="00CE0799">
      <w:r>
        <w:separator/>
      </w:r>
    </w:p>
  </w:footnote>
  <w:footnote w:type="continuationSeparator" w:id="0">
    <w:p w:rsidR="00A0244F" w:rsidRDefault="00A0244F" w:rsidP="00CE0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628" w:rsidRDefault="00BB357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88994" o:spid="_x0000_s2050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628" w:rsidRDefault="00BB357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88995" o:spid="_x0000_s2051" type="#_x0000_t136" style="position:absolute;margin-left:0;margin-top:0;width:540.3pt;height:188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628" w:rsidRDefault="00BB357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88993" o:spid="_x0000_s2049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B9"/>
    <w:rsid w:val="00051E43"/>
    <w:rsid w:val="00081788"/>
    <w:rsid w:val="000F03EA"/>
    <w:rsid w:val="00104856"/>
    <w:rsid w:val="00227CB4"/>
    <w:rsid w:val="002351F7"/>
    <w:rsid w:val="00243B5D"/>
    <w:rsid w:val="00291772"/>
    <w:rsid w:val="002926A6"/>
    <w:rsid w:val="00294CB2"/>
    <w:rsid w:val="002F79CD"/>
    <w:rsid w:val="003472C1"/>
    <w:rsid w:val="00353165"/>
    <w:rsid w:val="00377C2C"/>
    <w:rsid w:val="004A2D06"/>
    <w:rsid w:val="004B1AB7"/>
    <w:rsid w:val="00564243"/>
    <w:rsid w:val="005A0628"/>
    <w:rsid w:val="00613167"/>
    <w:rsid w:val="00650606"/>
    <w:rsid w:val="007365B3"/>
    <w:rsid w:val="00763534"/>
    <w:rsid w:val="008F1A5D"/>
    <w:rsid w:val="00920E31"/>
    <w:rsid w:val="0094040C"/>
    <w:rsid w:val="009611EC"/>
    <w:rsid w:val="00986A19"/>
    <w:rsid w:val="009F5AA8"/>
    <w:rsid w:val="00A0244F"/>
    <w:rsid w:val="00A20678"/>
    <w:rsid w:val="00A47259"/>
    <w:rsid w:val="00A63F58"/>
    <w:rsid w:val="00A732A4"/>
    <w:rsid w:val="00A8327A"/>
    <w:rsid w:val="00A913B9"/>
    <w:rsid w:val="00AD3985"/>
    <w:rsid w:val="00AE7151"/>
    <w:rsid w:val="00B06495"/>
    <w:rsid w:val="00B3459D"/>
    <w:rsid w:val="00B51CCA"/>
    <w:rsid w:val="00BA002C"/>
    <w:rsid w:val="00BB357B"/>
    <w:rsid w:val="00BD5469"/>
    <w:rsid w:val="00BE3150"/>
    <w:rsid w:val="00C860F4"/>
    <w:rsid w:val="00CE0799"/>
    <w:rsid w:val="00D133F7"/>
    <w:rsid w:val="00D670B4"/>
    <w:rsid w:val="00D86D43"/>
    <w:rsid w:val="00D932E1"/>
    <w:rsid w:val="00DA1707"/>
    <w:rsid w:val="00DA3367"/>
    <w:rsid w:val="00DC2F66"/>
    <w:rsid w:val="00E32C22"/>
    <w:rsid w:val="00E56C55"/>
    <w:rsid w:val="00E5713E"/>
    <w:rsid w:val="00EC3019"/>
    <w:rsid w:val="00F15151"/>
    <w:rsid w:val="00F31B34"/>
    <w:rsid w:val="00F644B6"/>
    <w:rsid w:val="00F70A82"/>
    <w:rsid w:val="00FC416D"/>
    <w:rsid w:val="00FC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8D5D85DC-DA95-4D34-9A31-BAB7B29B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07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E0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0799"/>
  </w:style>
  <w:style w:type="paragraph" w:styleId="Footer">
    <w:name w:val="footer"/>
    <w:basedOn w:val="Normal"/>
    <w:link w:val="FooterChar"/>
    <w:uiPriority w:val="99"/>
    <w:semiHidden/>
    <w:unhideWhenUsed/>
    <w:rsid w:val="00CE0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0799"/>
  </w:style>
  <w:style w:type="paragraph" w:styleId="BalloonText">
    <w:name w:val="Balloon Text"/>
    <w:basedOn w:val="Normal"/>
    <w:link w:val="BalloonTextChar"/>
    <w:uiPriority w:val="99"/>
    <w:semiHidden/>
    <w:unhideWhenUsed/>
    <w:rsid w:val="00B345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5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26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di.texas.gov//wc/pharmacy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BCA7A-95FA-405F-9B76-0F54AE67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Workers’ Compensation Injured Employee Notification Letterfor Addition of Fentanyl Transdermal Patches and MS-Contin to “N” Drug Status List in Appendix A, ODG Workers’ Compensation Drug Formulary</vt:lpstr>
    </vt:vector>
  </TitlesOfParts>
  <Company>Texas Department of Insurance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Workers’ Compensation Injured Employee Notification Letterfor Addition of Fentanyl Transdermal Patches and MS-Contin to “N” Drug Status List in Appendix A, ODG Workers’ Compensation Drug Formulary</dc:title>
  <dc:subject>Texas Workers’ Compensation Injured Employee Notification Letterfor Addition of Fentanyl Transdermal Patches and MS-Contin to “N” Drug Status List in Appendix A, ODG Workers’ Compensation Drug Formulary</dc:subject>
  <dc:creator>mr1rrr1</dc:creator>
  <cp:keywords>"N" drugs, official, disability, guidelines, ODG, Fentanyl, MS-Contin, formulary</cp:keywords>
  <cp:lastModifiedBy>Receptionist</cp:lastModifiedBy>
  <cp:revision>2</cp:revision>
  <cp:lastPrinted>2015-11-04T14:53:00Z</cp:lastPrinted>
  <dcterms:created xsi:type="dcterms:W3CDTF">2015-11-10T14:41:00Z</dcterms:created>
  <dcterms:modified xsi:type="dcterms:W3CDTF">2015-11-10T14:41:00Z</dcterms:modified>
</cp:coreProperties>
</file>